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D18" w:rsidRPr="00E33DB9" w:rsidRDefault="00222DCD" w:rsidP="000D7C7C">
      <w:pPr>
        <w:jc w:val="center"/>
        <w:rPr>
          <w:b/>
        </w:rPr>
      </w:pPr>
      <w:bookmarkStart w:id="0" w:name="_GoBack"/>
      <w:bookmarkEnd w:id="0"/>
      <w:r w:rsidRPr="00E33DB9">
        <w:rPr>
          <w:b/>
          <w:bCs/>
        </w:rPr>
        <w:t xml:space="preserve">Sample Letter from School: </w:t>
      </w:r>
    </w:p>
    <w:p w:rsidR="000D7C7C" w:rsidRPr="00E33DB9" w:rsidRDefault="00222DCD" w:rsidP="000D7C7C">
      <w:pPr>
        <w:jc w:val="center"/>
        <w:rPr>
          <w:b/>
        </w:rPr>
      </w:pPr>
      <w:r w:rsidRPr="00E33DB9">
        <w:rPr>
          <w:b/>
          <w:bCs/>
        </w:rPr>
        <w:t>Notice to Parents and Guardians of 6</w:t>
      </w:r>
      <w:r w:rsidRPr="00E33DB9">
        <w:rPr>
          <w:b/>
          <w:bCs/>
          <w:vertAlign w:val="superscript"/>
        </w:rPr>
        <w:t>th</w:t>
      </w:r>
      <w:r w:rsidRPr="00E33DB9">
        <w:rPr>
          <w:b/>
          <w:bCs/>
        </w:rPr>
        <w:t xml:space="preserve"> Grade Students with a Personal Belief Exemption</w:t>
      </w:r>
    </w:p>
    <w:p w:rsidR="000D7C7C" w:rsidRPr="00E33DB9" w:rsidRDefault="00222DCD" w:rsidP="000D7C7C">
      <w:pPr>
        <w:jc w:val="center"/>
        <w:rPr>
          <w:color w:val="FF0000"/>
        </w:rPr>
      </w:pPr>
      <w:r w:rsidRPr="00E33DB9">
        <w:rPr>
          <w:color w:val="FF0000"/>
          <w:highlight w:val="lightGray"/>
        </w:rPr>
        <w:t>[School Letterhead]</w:t>
      </w:r>
    </w:p>
    <w:p w:rsidR="000D7C7C" w:rsidRPr="00E33DB9" w:rsidRDefault="00222DCD" w:rsidP="000D7C7C">
      <w:r w:rsidRPr="00E33DB9">
        <w:rPr>
          <w:color w:val="FF0000"/>
          <w:highlight w:val="lightGray"/>
        </w:rPr>
        <w:t>[DATE]</w:t>
      </w:r>
    </w:p>
    <w:p w:rsidR="00356D18" w:rsidRPr="00E33DB9" w:rsidRDefault="00465951" w:rsidP="000D7C7C"/>
    <w:p w:rsidR="000D7C7C" w:rsidRPr="00E33DB9" w:rsidRDefault="00222DCD" w:rsidP="000D7C7C">
      <w:pPr>
        <w:rPr>
          <w:color w:val="0000FF"/>
        </w:rPr>
      </w:pPr>
      <w:r w:rsidRPr="00E33DB9">
        <w:rPr>
          <w:color w:val="0000FF"/>
        </w:rPr>
        <w:t>Estimado padre o tutor legal:</w:t>
      </w:r>
    </w:p>
    <w:p w:rsidR="00F359FF" w:rsidRPr="00465951" w:rsidRDefault="005574CC" w:rsidP="00C72F1B">
      <w:pPr>
        <w:rPr>
          <w:color w:val="0000FF"/>
          <w:lang w:val="es-MX"/>
        </w:rPr>
      </w:pPr>
      <w:r w:rsidRPr="00465951">
        <w:rPr>
          <w:color w:val="0000FF"/>
          <w:lang w:val="es-MX"/>
        </w:rPr>
        <w:t>Bajo la</w:t>
      </w:r>
      <w:r w:rsidR="00222DCD" w:rsidRPr="00465951">
        <w:rPr>
          <w:color w:val="0000FF"/>
          <w:lang w:val="es-MX"/>
        </w:rPr>
        <w:t xml:space="preserve"> nueva ley de California, las vacunas </w:t>
      </w:r>
      <w:r w:rsidRPr="00465951">
        <w:rPr>
          <w:color w:val="0000FF"/>
          <w:lang w:val="es-MX"/>
        </w:rPr>
        <w:t>requeridas</w:t>
      </w:r>
      <w:r w:rsidR="00222DCD" w:rsidRPr="00465951">
        <w:rPr>
          <w:color w:val="0000FF"/>
          <w:lang w:val="es-MX"/>
        </w:rPr>
        <w:t xml:space="preserve"> para la escuela ya no pueden excusarse en razón de creencias personales. Las exenciones por creencias personales que ya hayan sido presentadas para alumnos de jardín de infantes (K) hasta 6</w:t>
      </w:r>
      <w:proofErr w:type="gramStart"/>
      <w:r w:rsidR="00222DCD" w:rsidRPr="00465951">
        <w:rPr>
          <w:color w:val="0000FF"/>
          <w:lang w:val="es-MX"/>
        </w:rPr>
        <w:t>.°</w:t>
      </w:r>
      <w:proofErr w:type="gramEnd"/>
      <w:r w:rsidR="00222DCD" w:rsidRPr="00465951">
        <w:rPr>
          <w:color w:val="0000FF"/>
          <w:lang w:val="es-MX"/>
        </w:rPr>
        <w:t xml:space="preserve"> grado siguen siendo válidas hasta que el alumno llega a</w:t>
      </w:r>
      <w:r w:rsidR="00E33DB9" w:rsidRPr="00465951">
        <w:rPr>
          <w:color w:val="0000FF"/>
          <w:lang w:val="es-MX"/>
        </w:rPr>
        <w:t xml:space="preserve"> </w:t>
      </w:r>
      <w:r w:rsidR="00222DCD" w:rsidRPr="00465951">
        <w:rPr>
          <w:color w:val="0000FF"/>
          <w:lang w:val="es-MX"/>
        </w:rPr>
        <w:t xml:space="preserve">7.° grado.  </w:t>
      </w:r>
    </w:p>
    <w:p w:rsidR="001D3E60" w:rsidRPr="00465951" w:rsidRDefault="00222DCD" w:rsidP="00C72F1B">
      <w:pPr>
        <w:rPr>
          <w:color w:val="0000FF"/>
          <w:lang w:val="es-MX"/>
        </w:rPr>
      </w:pPr>
      <w:r w:rsidRPr="00465951">
        <w:rPr>
          <w:color w:val="0000FF"/>
          <w:lang w:val="es-MX"/>
        </w:rPr>
        <w:t>De acuerdo con nuestros registros, su hijo tiene una exención</w:t>
      </w:r>
      <w:r w:rsidR="00E33DB9" w:rsidRPr="00465951">
        <w:rPr>
          <w:color w:val="0000FF"/>
          <w:lang w:val="es-MX"/>
        </w:rPr>
        <w:t xml:space="preserve"> </w:t>
      </w:r>
      <w:r w:rsidRPr="00465951">
        <w:rPr>
          <w:color w:val="0000FF"/>
          <w:lang w:val="es-MX"/>
        </w:rPr>
        <w:t xml:space="preserve">de una o más vacunas </w:t>
      </w:r>
      <w:r w:rsidR="005574CC" w:rsidRPr="00465951">
        <w:rPr>
          <w:color w:val="0000FF"/>
          <w:lang w:val="es-MX"/>
        </w:rPr>
        <w:t>requeridas</w:t>
      </w:r>
      <w:r w:rsidRPr="00465951">
        <w:rPr>
          <w:color w:val="0000FF"/>
          <w:lang w:val="es-MX"/>
        </w:rPr>
        <w:t xml:space="preserve"> para la escuela</w:t>
      </w:r>
      <w:r w:rsidR="00E33DB9" w:rsidRPr="00465951">
        <w:rPr>
          <w:color w:val="0000FF"/>
          <w:lang w:val="es-MX"/>
        </w:rPr>
        <w:t xml:space="preserve">  por creencias personales</w:t>
      </w:r>
      <w:r w:rsidRPr="00465951">
        <w:rPr>
          <w:color w:val="0000FF"/>
          <w:lang w:val="es-MX"/>
        </w:rPr>
        <w:t>.</w:t>
      </w:r>
      <w:r w:rsidR="00E33DB9" w:rsidRPr="00465951">
        <w:rPr>
          <w:color w:val="0000FF"/>
          <w:lang w:val="es-MX"/>
        </w:rPr>
        <w:t xml:space="preserve"> </w:t>
      </w:r>
      <w:r w:rsidRPr="00465951">
        <w:rPr>
          <w:color w:val="0000FF"/>
          <w:lang w:val="es-MX"/>
        </w:rPr>
        <w:t>Para que su hijo pueda comenzar el 7</w:t>
      </w:r>
      <w:proofErr w:type="gramStart"/>
      <w:r w:rsidRPr="00465951">
        <w:rPr>
          <w:color w:val="0000FF"/>
          <w:lang w:val="es-MX"/>
        </w:rPr>
        <w:t>.°</w:t>
      </w:r>
      <w:proofErr w:type="gramEnd"/>
      <w:r w:rsidRPr="00465951">
        <w:rPr>
          <w:color w:val="0000FF"/>
          <w:lang w:val="es-MX"/>
        </w:rPr>
        <w:t xml:space="preserve"> grado, usted deberá presentar antes del </w:t>
      </w:r>
      <w:r w:rsidRPr="00465951">
        <w:rPr>
          <w:color w:val="FF0000"/>
          <w:highlight w:val="lightGray"/>
          <w:lang w:val="es-MX"/>
        </w:rPr>
        <w:t>[DATE]</w:t>
      </w:r>
      <w:r w:rsidRPr="00465951">
        <w:rPr>
          <w:color w:val="FF0000"/>
          <w:lang w:val="es-MX"/>
        </w:rPr>
        <w:t xml:space="preserve"> </w:t>
      </w:r>
      <w:r w:rsidRPr="00465951">
        <w:rPr>
          <w:color w:val="0000FF"/>
          <w:lang w:val="es-MX"/>
        </w:rPr>
        <w:t>documentación que acredite que su hijo ha recibido las siguientes vacunas:</w:t>
      </w:r>
    </w:p>
    <w:p w:rsidR="001D3E60" w:rsidRPr="00465951" w:rsidRDefault="00222DCD" w:rsidP="00E81CBD">
      <w:pPr>
        <w:pStyle w:val="ListParagraph"/>
        <w:numPr>
          <w:ilvl w:val="0"/>
          <w:numId w:val="4"/>
        </w:numPr>
        <w:rPr>
          <w:rFonts w:cs="Helv"/>
          <w:color w:val="0000FF"/>
          <w:lang w:val="es-MX"/>
        </w:rPr>
      </w:pPr>
      <w:r w:rsidRPr="00465951">
        <w:rPr>
          <w:rFonts w:cs="Helv"/>
          <w:color w:val="0000FF"/>
          <w:lang w:val="es-MX"/>
        </w:rPr>
        <w:t>1 dosis de la vacuna contra la varicela</w:t>
      </w:r>
    </w:p>
    <w:p w:rsidR="001D3E60" w:rsidRPr="00465951" w:rsidRDefault="00222DCD" w:rsidP="00E81CBD">
      <w:pPr>
        <w:pStyle w:val="ListParagraph"/>
        <w:numPr>
          <w:ilvl w:val="0"/>
          <w:numId w:val="4"/>
        </w:numPr>
        <w:rPr>
          <w:rFonts w:cs="Helv"/>
          <w:color w:val="0000FF"/>
          <w:lang w:val="es-MX"/>
        </w:rPr>
      </w:pPr>
      <w:r w:rsidRPr="00465951">
        <w:rPr>
          <w:rFonts w:cs="Helv"/>
          <w:color w:val="0000FF"/>
          <w:lang w:val="es-MX"/>
        </w:rPr>
        <w:t>2 dosis de la vacuna contra el sarampión, las paperas y la rub</w:t>
      </w:r>
      <w:r w:rsidR="00E33DB9" w:rsidRPr="00465951">
        <w:rPr>
          <w:rFonts w:cs="Helv"/>
          <w:color w:val="0000FF"/>
          <w:lang w:val="es-MX"/>
        </w:rPr>
        <w:t>e</w:t>
      </w:r>
      <w:r w:rsidRPr="00465951">
        <w:rPr>
          <w:rFonts w:cs="Helv"/>
          <w:color w:val="0000FF"/>
          <w:lang w:val="es-MX"/>
        </w:rPr>
        <w:t>ola (MMR, por sus siglas en inglés) administradas a partir del primer año de vida</w:t>
      </w:r>
    </w:p>
    <w:p w:rsidR="00C51664" w:rsidRPr="00465951" w:rsidRDefault="00222DCD" w:rsidP="00C51664">
      <w:pPr>
        <w:pStyle w:val="ListParagraph"/>
        <w:numPr>
          <w:ilvl w:val="0"/>
          <w:numId w:val="4"/>
        </w:numPr>
        <w:rPr>
          <w:color w:val="0000FF"/>
          <w:lang w:val="es-MX"/>
        </w:rPr>
      </w:pPr>
      <w:r w:rsidRPr="00465951">
        <w:rPr>
          <w:rFonts w:cs="Times New Roman"/>
          <w:color w:val="0000FF"/>
          <w:lang w:val="es-MX"/>
        </w:rPr>
        <w:t>3 dosis de la vacuna contra la difteria, el tétanos y la tos ferina (</w:t>
      </w:r>
      <w:proofErr w:type="spellStart"/>
      <w:r w:rsidRPr="00465951">
        <w:rPr>
          <w:rFonts w:cs="Times New Roman"/>
          <w:color w:val="0000FF"/>
          <w:lang w:val="es-MX"/>
        </w:rPr>
        <w:t>DTaP</w:t>
      </w:r>
      <w:proofErr w:type="spellEnd"/>
      <w:r w:rsidRPr="00465951">
        <w:rPr>
          <w:rFonts w:cs="Times New Roman"/>
          <w:color w:val="0000FF"/>
          <w:lang w:val="es-MX"/>
        </w:rPr>
        <w:t xml:space="preserve">, por sus siglas en inglés), lo que incluye 1 dosis de la vacuna a partir de los 7 años de edad </w:t>
      </w:r>
    </w:p>
    <w:p w:rsidR="001D3E60" w:rsidRPr="00E33DB9" w:rsidRDefault="00222DCD" w:rsidP="00E81CBD">
      <w:pPr>
        <w:pStyle w:val="ListParagraph"/>
        <w:numPr>
          <w:ilvl w:val="0"/>
          <w:numId w:val="4"/>
        </w:numPr>
        <w:rPr>
          <w:rFonts w:cs="Helv"/>
          <w:color w:val="0000FF"/>
        </w:rPr>
      </w:pPr>
      <w:r w:rsidRPr="00E33DB9">
        <w:rPr>
          <w:rFonts w:cs="Helv"/>
          <w:color w:val="0000FF"/>
        </w:rPr>
        <w:t xml:space="preserve">4 </w:t>
      </w:r>
      <w:proofErr w:type="spellStart"/>
      <w:r w:rsidRPr="00E33DB9">
        <w:rPr>
          <w:rFonts w:cs="Helv"/>
          <w:color w:val="0000FF"/>
        </w:rPr>
        <w:t>dosis</w:t>
      </w:r>
      <w:proofErr w:type="spellEnd"/>
      <w:r w:rsidRPr="00E33DB9">
        <w:rPr>
          <w:rFonts w:cs="Helv"/>
          <w:color w:val="0000FF"/>
        </w:rPr>
        <w:t xml:space="preserve"> de la vacuna contra la poliomielitis (3 dosis son aceptables si la última de ellas fue administrada a partir del segundo año de vida) </w:t>
      </w:r>
    </w:p>
    <w:p w:rsidR="00E81CBD" w:rsidRPr="00465951" w:rsidRDefault="00222DCD" w:rsidP="00222DCD">
      <w:pPr>
        <w:ind w:right="-138"/>
        <w:rPr>
          <w:color w:val="0000FF"/>
          <w:spacing w:val="-2"/>
          <w:lang w:val="es-MX"/>
        </w:rPr>
      </w:pPr>
      <w:r w:rsidRPr="00465951">
        <w:rPr>
          <w:color w:val="0000FF"/>
          <w:spacing w:val="-2"/>
          <w:lang w:val="es-MX"/>
        </w:rPr>
        <w:t xml:space="preserve">Estas vacunas necesarias para el ingreso a la escuela también son recomendadas por los médicos. Por favor, comuníquese con el médico de su hijo de inmediato para consultarle acerca de estas vacunas. Los alumnos </w:t>
      </w:r>
      <w:r w:rsidR="00E33DB9" w:rsidRPr="00465951">
        <w:rPr>
          <w:color w:val="0000FF"/>
          <w:spacing w:val="-2"/>
          <w:lang w:val="es-MX"/>
        </w:rPr>
        <w:t>que ingresen</w:t>
      </w:r>
      <w:r w:rsidRPr="00465951">
        <w:rPr>
          <w:color w:val="0000FF"/>
          <w:spacing w:val="-2"/>
          <w:lang w:val="es-MX"/>
        </w:rPr>
        <w:t xml:space="preserve"> a 7</w:t>
      </w:r>
      <w:proofErr w:type="gramStart"/>
      <w:r w:rsidRPr="00465951">
        <w:rPr>
          <w:color w:val="0000FF"/>
          <w:spacing w:val="-2"/>
          <w:lang w:val="es-MX"/>
        </w:rPr>
        <w:t>.°</w:t>
      </w:r>
      <w:proofErr w:type="gramEnd"/>
      <w:r w:rsidRPr="00465951">
        <w:rPr>
          <w:color w:val="0000FF"/>
          <w:spacing w:val="-2"/>
          <w:lang w:val="es-MX"/>
        </w:rPr>
        <w:t xml:space="preserve"> grado </w:t>
      </w:r>
      <w:r w:rsidR="00E33DB9" w:rsidRPr="00465951">
        <w:rPr>
          <w:color w:val="0000FF"/>
          <w:spacing w:val="-2"/>
          <w:lang w:val="es-MX"/>
        </w:rPr>
        <w:t xml:space="preserve">y </w:t>
      </w:r>
      <w:r w:rsidRPr="00465951">
        <w:rPr>
          <w:color w:val="0000FF"/>
          <w:spacing w:val="-2"/>
          <w:lang w:val="es-MX"/>
        </w:rPr>
        <w:t>que no cumplan con los requisitos de vacunación no podrán asistir a la escuela.</w:t>
      </w:r>
    </w:p>
    <w:p w:rsidR="00EF2B58" w:rsidRPr="00E33DB9" w:rsidRDefault="00222DCD" w:rsidP="00222DCD">
      <w:pPr>
        <w:pStyle w:val="NoSpacing"/>
        <w:ind w:right="-279"/>
        <w:rPr>
          <w:rFonts w:asciiTheme="minorHAnsi" w:hAnsiTheme="minorHAnsi" w:cs="Calibri"/>
          <w:color w:val="0000FF"/>
        </w:rPr>
      </w:pPr>
      <w:proofErr w:type="spellStart"/>
      <w:r w:rsidRPr="00E33DB9">
        <w:rPr>
          <w:rFonts w:asciiTheme="minorHAnsi" w:hAnsiTheme="minorHAnsi" w:cs="Calibri"/>
          <w:color w:val="0000FF"/>
        </w:rPr>
        <w:t>Por</w:t>
      </w:r>
      <w:proofErr w:type="spellEnd"/>
      <w:r w:rsidRPr="00E33DB9">
        <w:rPr>
          <w:rFonts w:asciiTheme="minorHAnsi" w:hAnsiTheme="minorHAnsi" w:cs="Calibri"/>
          <w:color w:val="0000FF"/>
        </w:rPr>
        <w:t xml:space="preserve"> favor, no dude en llamarnos si tiene alguna pregunta. Nuestro número de teléfono es </w:t>
      </w:r>
      <w:r w:rsidRPr="00E33DB9">
        <w:rPr>
          <w:rFonts w:asciiTheme="minorHAnsi" w:hAnsiTheme="minorHAnsi" w:cs="Calibri"/>
          <w:color w:val="FF0000"/>
          <w:highlight w:val="lightGray"/>
        </w:rPr>
        <w:t>[XXX-XXX-XXXX]</w:t>
      </w:r>
      <w:r w:rsidRPr="00E33DB9">
        <w:rPr>
          <w:rFonts w:asciiTheme="minorHAnsi" w:hAnsiTheme="minorHAnsi" w:cs="Calibri"/>
          <w:color w:val="FF0000"/>
        </w:rPr>
        <w:t xml:space="preserve">. </w:t>
      </w:r>
      <w:r w:rsidRPr="00E33DB9">
        <w:rPr>
          <w:rFonts w:asciiTheme="minorHAnsi" w:hAnsiTheme="minorHAnsi" w:cs="Calibri"/>
          <w:color w:val="0000FF"/>
        </w:rPr>
        <w:t xml:space="preserve"> </w:t>
      </w:r>
    </w:p>
    <w:p w:rsidR="00520C60" w:rsidRPr="00E33DB9" w:rsidRDefault="00465951" w:rsidP="00EF2B58">
      <w:pPr>
        <w:pStyle w:val="NoSpacing"/>
        <w:rPr>
          <w:rFonts w:asciiTheme="minorHAnsi" w:hAnsiTheme="minorHAnsi" w:cs="Calibri"/>
          <w:color w:val="0000FF"/>
        </w:rPr>
      </w:pPr>
    </w:p>
    <w:p w:rsidR="00520C60" w:rsidRPr="00465951" w:rsidRDefault="00222DCD" w:rsidP="00EF2B58">
      <w:pPr>
        <w:pStyle w:val="NoSpacing"/>
        <w:rPr>
          <w:rFonts w:asciiTheme="minorHAnsi" w:hAnsiTheme="minorHAnsi" w:cs="Calibri"/>
          <w:color w:val="0000FF"/>
          <w:lang w:val="es-MX"/>
        </w:rPr>
      </w:pPr>
      <w:r w:rsidRPr="00465951">
        <w:rPr>
          <w:rFonts w:asciiTheme="minorHAnsi" w:hAnsiTheme="minorHAnsi" w:cs="Calibri"/>
          <w:color w:val="0000FF"/>
          <w:lang w:val="es-MX"/>
        </w:rPr>
        <w:t xml:space="preserve">Muchas gracias por ayudarnos a mantener a su hijo, a nuestra escuela y a </w:t>
      </w:r>
      <w:proofErr w:type="gramStart"/>
      <w:r w:rsidRPr="00465951">
        <w:rPr>
          <w:rFonts w:asciiTheme="minorHAnsi" w:hAnsiTheme="minorHAnsi" w:cs="Calibri"/>
          <w:color w:val="0000FF"/>
          <w:lang w:val="es-MX"/>
        </w:rPr>
        <w:t>nuestra comunidad protegidos y saludables</w:t>
      </w:r>
      <w:proofErr w:type="gramEnd"/>
      <w:r w:rsidRPr="00465951">
        <w:rPr>
          <w:rFonts w:asciiTheme="minorHAnsi" w:hAnsiTheme="minorHAnsi" w:cs="Calibri"/>
          <w:color w:val="0000FF"/>
          <w:lang w:val="es-MX"/>
        </w:rPr>
        <w:t>.</w:t>
      </w:r>
    </w:p>
    <w:p w:rsidR="000D7C7C" w:rsidRPr="00465951" w:rsidRDefault="00465951" w:rsidP="00EF2B58">
      <w:pPr>
        <w:spacing w:line="240" w:lineRule="auto"/>
        <w:rPr>
          <w:color w:val="0000FF"/>
          <w:lang w:val="es-MX"/>
        </w:rPr>
      </w:pPr>
    </w:p>
    <w:p w:rsidR="000D7C7C" w:rsidRPr="00E33DB9" w:rsidRDefault="00222DCD" w:rsidP="000D7C7C">
      <w:pPr>
        <w:rPr>
          <w:color w:val="0000FF"/>
        </w:rPr>
      </w:pPr>
      <w:proofErr w:type="spellStart"/>
      <w:r w:rsidRPr="00E33DB9">
        <w:rPr>
          <w:color w:val="0000FF"/>
        </w:rPr>
        <w:t>Atentamente</w:t>
      </w:r>
      <w:proofErr w:type="spellEnd"/>
      <w:r w:rsidRPr="00E33DB9">
        <w:rPr>
          <w:color w:val="0000FF"/>
        </w:rPr>
        <w:t>,</w:t>
      </w:r>
    </w:p>
    <w:p w:rsidR="000D7C7C" w:rsidRPr="00E33DB9" w:rsidRDefault="00465951" w:rsidP="000D7C7C">
      <w:pPr>
        <w:rPr>
          <w:color w:val="0000FF"/>
        </w:rPr>
      </w:pPr>
    </w:p>
    <w:p w:rsidR="000D7C7C" w:rsidRPr="00E33DB9" w:rsidRDefault="00465951" w:rsidP="000D7C7C"/>
    <w:p w:rsidR="000D7C7C" w:rsidRPr="00E33DB9" w:rsidRDefault="00222DCD" w:rsidP="000D7C7C">
      <w:pPr>
        <w:rPr>
          <w:color w:val="FF0000"/>
        </w:rPr>
      </w:pPr>
      <w:r w:rsidRPr="00E33DB9">
        <w:rPr>
          <w:color w:val="FF0000"/>
          <w:highlight w:val="lightGray"/>
        </w:rPr>
        <w:t>[School Principal]</w:t>
      </w:r>
      <w:r w:rsidRPr="00E33DB9">
        <w:rPr>
          <w:color w:val="FF0000"/>
        </w:rPr>
        <w:t xml:space="preserve">                                                                          </w:t>
      </w:r>
      <w:r w:rsidRPr="00E33DB9">
        <w:rPr>
          <w:color w:val="FF0000"/>
          <w:highlight w:val="lightGray"/>
        </w:rPr>
        <w:t>[School Nurse]</w:t>
      </w:r>
    </w:p>
    <w:sectPr w:rsidR="000D7C7C" w:rsidRPr="00E33DB9" w:rsidSect="00367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B2F78"/>
    <w:multiLevelType w:val="hybridMultilevel"/>
    <w:tmpl w:val="9BD4A476"/>
    <w:lvl w:ilvl="0" w:tplc="1CE62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2AC5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668F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38C2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941A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E8D3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F057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80D4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4E62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D170A"/>
    <w:multiLevelType w:val="multilevel"/>
    <w:tmpl w:val="1EE46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1725A2"/>
    <w:multiLevelType w:val="multilevel"/>
    <w:tmpl w:val="DD22E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AF2F7E"/>
    <w:multiLevelType w:val="hybridMultilevel"/>
    <w:tmpl w:val="546A01E8"/>
    <w:lvl w:ilvl="0" w:tplc="58D4428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13067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4EBB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72CA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32E9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005F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2820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244B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C0FB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CD"/>
    <w:rsid w:val="00222DCD"/>
    <w:rsid w:val="003674B0"/>
    <w:rsid w:val="00420C99"/>
    <w:rsid w:val="00465951"/>
    <w:rsid w:val="005574CC"/>
    <w:rsid w:val="00C02CFB"/>
    <w:rsid w:val="00E3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23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4C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57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D7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A4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EF2B58"/>
    <w:pPr>
      <w:spacing w:after="0" w:line="240" w:lineRule="auto"/>
    </w:pPr>
    <w:rPr>
      <w:rFonts w:ascii="Tahoma" w:eastAsia="Calibri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23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4C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57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D7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A4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EF2B58"/>
    <w:pPr>
      <w:spacing w:after="0" w:line="240" w:lineRule="auto"/>
    </w:pPr>
    <w:rPr>
      <w:rFonts w:ascii="Tahoma" w:eastAsia="Calibri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45151-F1A5-4991-8E9B-3C2F03FB7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Pezua, Jane (CDPH-CID-DCDC-IMM)</dc:creator>
  <cp:lastModifiedBy>Aldrin T. Bernabeo</cp:lastModifiedBy>
  <cp:revision>2</cp:revision>
  <cp:lastPrinted>2016-01-07T20:02:00Z</cp:lastPrinted>
  <dcterms:created xsi:type="dcterms:W3CDTF">2016-02-05T22:22:00Z</dcterms:created>
  <dcterms:modified xsi:type="dcterms:W3CDTF">2016-02-05T22:22:00Z</dcterms:modified>
</cp:coreProperties>
</file>